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102"/>
        <w:gridCol w:w="2124"/>
        <w:gridCol w:w="4429"/>
        <w:gridCol w:w="1446"/>
        <w:gridCol w:w="51"/>
        <w:gridCol w:w="2559"/>
      </w:tblGrid>
      <w:tr w:rsidR="00461204" w14:paraId="5711B7C6" w14:textId="77777777" w:rsidTr="001C48D2">
        <w:trPr>
          <w:trHeight w:val="2250"/>
          <w:jc w:val="center"/>
        </w:trPr>
        <w:tc>
          <w:tcPr>
            <w:tcW w:w="7464" w:type="dxa"/>
            <w:gridSpan w:val="4"/>
            <w:shd w:val="clear" w:color="auto" w:fill="2F5496" w:themeFill="accent1" w:themeFillShade="BF"/>
          </w:tcPr>
          <w:p w14:paraId="347F8A46" w14:textId="273B01EA" w:rsidR="00A411D7" w:rsidRPr="00A411D7" w:rsidRDefault="00A411D7" w:rsidP="00E6223A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14:paraId="336E7C52" w14:textId="77777777" w:rsidR="00461204" w:rsidRDefault="00A411D7" w:rsidP="00E6223A">
            <w:pPr>
              <w:rPr>
                <w:b/>
                <w:color w:val="FFFFFF" w:themeColor="background1"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 xml:space="preserve">Employee Engagement 360 </w:t>
            </w:r>
          </w:p>
          <w:p w14:paraId="62A1AE4F" w14:textId="77777777" w:rsidR="008F1D8D" w:rsidRDefault="00461204" w:rsidP="00E6223A">
            <w:pPr>
              <w:rPr>
                <w:b/>
                <w:color w:val="FFFFFF" w:themeColor="background1"/>
                <w:sz w:val="40"/>
                <w:szCs w:val="40"/>
              </w:rPr>
            </w:pPr>
            <w:r w:rsidRPr="00461204">
              <w:rPr>
                <w:b/>
                <w:color w:val="FFFFFF" w:themeColor="background1"/>
                <w:sz w:val="40"/>
                <w:szCs w:val="40"/>
              </w:rPr>
              <w:t xml:space="preserve">Easy as </w:t>
            </w:r>
            <w:r w:rsidR="00A411D7" w:rsidRPr="00461204">
              <w:rPr>
                <w:b/>
                <w:color w:val="FFFFFF" w:themeColor="background1"/>
                <w:sz w:val="40"/>
                <w:szCs w:val="40"/>
              </w:rPr>
              <w:t>1-2-3</w:t>
            </w:r>
          </w:p>
          <w:p w14:paraId="0161D7E9" w14:textId="77777777" w:rsidR="0038133D" w:rsidRPr="0038133D" w:rsidRDefault="0038133D" w:rsidP="00E6223A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14:paraId="6B697044" w14:textId="494C27D5" w:rsidR="00AF092C" w:rsidRPr="00AF092C" w:rsidRDefault="0038133D" w:rsidP="00E6223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AF092C">
              <w:rPr>
                <w:b/>
                <w:color w:val="FFFFFF" w:themeColor="background1"/>
                <w:sz w:val="28"/>
                <w:szCs w:val="28"/>
              </w:rPr>
              <w:t>Raise Your Employee</w:t>
            </w:r>
            <w:r w:rsidR="00AF092C">
              <w:rPr>
                <w:b/>
                <w:color w:val="FFFFFF" w:themeColor="background1"/>
                <w:sz w:val="28"/>
                <w:szCs w:val="28"/>
              </w:rPr>
              <w:t>’</w:t>
            </w:r>
            <w:r w:rsidR="00AF092C" w:rsidRPr="00AF092C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Pr="00AF092C">
              <w:rPr>
                <w:b/>
                <w:color w:val="FFFFFF" w:themeColor="background1"/>
                <w:sz w:val="28"/>
                <w:szCs w:val="28"/>
              </w:rPr>
              <w:t xml:space="preserve"> CX Relationship Skills </w:t>
            </w:r>
          </w:p>
          <w:p w14:paraId="2609C64C" w14:textId="1C2A502C" w:rsidR="0038133D" w:rsidRPr="0038133D" w:rsidRDefault="0038133D" w:rsidP="00E6223A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AF092C">
              <w:rPr>
                <w:b/>
                <w:color w:val="FFFFFF" w:themeColor="background1"/>
                <w:sz w:val="28"/>
                <w:szCs w:val="28"/>
              </w:rPr>
              <w:t>CX Operational Practices- CX Awareness – CX</w:t>
            </w:r>
            <w:r w:rsidR="00AF092C" w:rsidRPr="00AF092C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Pr="00AF092C">
              <w:rPr>
                <w:b/>
                <w:color w:val="FFFFFF" w:themeColor="background1"/>
                <w:sz w:val="28"/>
                <w:szCs w:val="28"/>
              </w:rPr>
              <w:t>Commitment</w:t>
            </w:r>
          </w:p>
        </w:tc>
        <w:tc>
          <w:tcPr>
            <w:tcW w:w="4056" w:type="dxa"/>
            <w:gridSpan w:val="3"/>
            <w:shd w:val="clear" w:color="auto" w:fill="2F5496" w:themeFill="accent1" w:themeFillShade="BF"/>
            <w:vAlign w:val="center"/>
          </w:tcPr>
          <w:p w14:paraId="60091259" w14:textId="5AF0C0B3" w:rsidR="00297E48" w:rsidRPr="00AE7887" w:rsidRDefault="00EC0B7F" w:rsidP="001C48D2">
            <w:pPr>
              <w:jc w:val="right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drawing>
                <wp:inline distT="0" distB="0" distL="0" distR="0" wp14:anchorId="611D8178" wp14:editId="3FA9B4D3">
                  <wp:extent cx="2122491" cy="1414109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2491" cy="1414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02DD" w14:paraId="7F1A14CF" w14:textId="77777777" w:rsidTr="001C48D2">
        <w:trPr>
          <w:trHeight w:val="180"/>
          <w:jc w:val="center"/>
        </w:trPr>
        <w:tc>
          <w:tcPr>
            <w:tcW w:w="11520" w:type="dxa"/>
            <w:gridSpan w:val="7"/>
            <w:shd w:val="clear" w:color="auto" w:fill="FFFFFF" w:themeFill="background1"/>
            <w:vAlign w:val="center"/>
          </w:tcPr>
          <w:p w14:paraId="7BB237F8" w14:textId="31DA460B" w:rsidR="00A411D7" w:rsidRPr="000C54A5" w:rsidRDefault="00A411D7" w:rsidP="00A411D7">
            <w:pPr>
              <w:jc w:val="both"/>
              <w:rPr>
                <w:color w:val="000000" w:themeColor="text1"/>
              </w:rPr>
            </w:pPr>
          </w:p>
        </w:tc>
      </w:tr>
      <w:tr w:rsidR="00E02833" w14:paraId="7332B905" w14:textId="77777777" w:rsidTr="00461204">
        <w:trPr>
          <w:trHeight w:val="512"/>
          <w:jc w:val="center"/>
        </w:trPr>
        <w:tc>
          <w:tcPr>
            <w:tcW w:w="809" w:type="dxa"/>
            <w:shd w:val="clear" w:color="auto" w:fill="2F5496" w:themeFill="accent1" w:themeFillShade="BF"/>
            <w:vAlign w:val="center"/>
          </w:tcPr>
          <w:p w14:paraId="33ADB443" w14:textId="77777777" w:rsidR="002D43E0" w:rsidRPr="00D805F1" w:rsidRDefault="002D43E0" w:rsidP="00F02860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D805F1">
              <w:rPr>
                <w:b/>
                <w:color w:val="FFFFFF" w:themeColor="background1"/>
                <w:sz w:val="36"/>
                <w:szCs w:val="36"/>
              </w:rPr>
              <w:t>1</w:t>
            </w:r>
          </w:p>
        </w:tc>
        <w:tc>
          <w:tcPr>
            <w:tcW w:w="10711" w:type="dxa"/>
            <w:gridSpan w:val="6"/>
            <w:shd w:val="clear" w:color="auto" w:fill="2F5496" w:themeFill="accent1" w:themeFillShade="BF"/>
            <w:vAlign w:val="center"/>
          </w:tcPr>
          <w:p w14:paraId="29E938BF" w14:textId="5CA63522" w:rsidR="00F02860" w:rsidRPr="00D805F1" w:rsidRDefault="00B1042C" w:rsidP="00F02860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Employee Soft-Skill Certification Training</w:t>
            </w:r>
          </w:p>
        </w:tc>
      </w:tr>
      <w:tr w:rsidR="00461204" w14:paraId="74F85DAA" w14:textId="77777777" w:rsidTr="001C48D2">
        <w:trPr>
          <w:trHeight w:val="3537"/>
          <w:jc w:val="center"/>
        </w:trPr>
        <w:tc>
          <w:tcPr>
            <w:tcW w:w="8961" w:type="dxa"/>
            <w:gridSpan w:val="6"/>
          </w:tcPr>
          <w:p w14:paraId="43773727" w14:textId="10F0E1A6" w:rsidR="00DA6E8F" w:rsidRDefault="00DA6E8F" w:rsidP="00B1042C"/>
          <w:p w14:paraId="040D4FBC" w14:textId="17393A84" w:rsidR="00346FFF" w:rsidRDefault="00346FFF" w:rsidP="00B1042C">
            <w:r>
              <w:t>The CXDNA Playbook Strategy identifies Employee Engagement as a critical component to implementing worldwide CX strategy</w:t>
            </w:r>
            <w:r w:rsidR="00E02007">
              <w:t xml:space="preserve"> and </w:t>
            </w:r>
            <w:r w:rsidR="00E02007" w:rsidRPr="00D805F1">
              <w:t>soft skills certified training to provide the foundation for delivering consistent exceptional customer experiences (CX).</w:t>
            </w:r>
          </w:p>
          <w:p w14:paraId="6A8F2D3B" w14:textId="77777777" w:rsidR="00346FFF" w:rsidRPr="00346FFF" w:rsidRDefault="00346FFF" w:rsidP="00346FFF">
            <w:pPr>
              <w:spacing w:line="10" w:lineRule="atLeast"/>
              <w:rPr>
                <w:sz w:val="10"/>
                <w:szCs w:val="10"/>
              </w:rPr>
            </w:pPr>
          </w:p>
          <w:p w14:paraId="5FAFF43D" w14:textId="4CF629BD" w:rsidR="00461204" w:rsidRDefault="00B1042C" w:rsidP="00B1042C">
            <w:r>
              <w:t xml:space="preserve">CEMPRO </w:t>
            </w:r>
            <w:r w:rsidR="00461204">
              <w:t xml:space="preserve">(Customer Experience Management Professional) </w:t>
            </w:r>
            <w:r>
              <w:t xml:space="preserve">is an online interactive training in customer relationship skills building </w:t>
            </w:r>
            <w:r w:rsidR="00461204">
              <w:t>for customer facing professional</w:t>
            </w:r>
            <w:r w:rsidR="00346FFF">
              <w:t>s and others</w:t>
            </w:r>
            <w:r w:rsidR="00461204">
              <w:t>.</w:t>
            </w:r>
            <w:r w:rsidR="00E02007">
              <w:t xml:space="preserve"> </w:t>
            </w:r>
            <w:r w:rsidR="00461204">
              <w:t>The course includes online testing with certification for employees who meet the criteria of a minimum test score of eighty (80%) percent. Companies may choose to participate in the annual CEMPRO Award recognition program that includes marketing rights in all print/electronic media.</w:t>
            </w:r>
          </w:p>
          <w:p w14:paraId="3DA9D508" w14:textId="77777777" w:rsidR="00461204" w:rsidRPr="00346FFF" w:rsidRDefault="00461204" w:rsidP="00346FFF">
            <w:pPr>
              <w:spacing w:line="10" w:lineRule="atLeast"/>
              <w:rPr>
                <w:sz w:val="10"/>
                <w:szCs w:val="10"/>
              </w:rPr>
            </w:pPr>
          </w:p>
          <w:p w14:paraId="277AB0AF" w14:textId="23B95E2E" w:rsidR="00B1042C" w:rsidRDefault="00461204" w:rsidP="00B1042C">
            <w:r>
              <w:t xml:space="preserve">The CEMPRO course </w:t>
            </w:r>
            <w:r w:rsidR="00B1042C">
              <w:t xml:space="preserve">includes four (4) </w:t>
            </w:r>
            <w:r w:rsidR="00AF092C">
              <w:t xml:space="preserve">interactive – certified testing </w:t>
            </w:r>
            <w:r w:rsidR="00B1042C">
              <w:t>modules:</w:t>
            </w:r>
          </w:p>
          <w:p w14:paraId="25F1C2AE" w14:textId="2E045DA6" w:rsidR="00B1042C" w:rsidRDefault="00B1042C" w:rsidP="00E02007">
            <w:r>
              <w:t>Customer Care</w:t>
            </w:r>
            <w:r w:rsidR="00E02007">
              <w:t xml:space="preserve"> / </w:t>
            </w:r>
            <w:r>
              <w:t>Dealing with Difficult Customers</w:t>
            </w:r>
            <w:r w:rsidR="00E02007">
              <w:t xml:space="preserve"> / </w:t>
            </w:r>
            <w:r>
              <w:t>Problem Solving Skills</w:t>
            </w:r>
            <w:r w:rsidR="00E02007">
              <w:t xml:space="preserve"> / </w:t>
            </w:r>
            <w:r>
              <w:t>Time Management</w:t>
            </w:r>
          </w:p>
          <w:p w14:paraId="1872A530" w14:textId="6C8ADA9E" w:rsidR="001D08C1" w:rsidRDefault="001D08C1" w:rsidP="001D08C1"/>
        </w:tc>
        <w:tc>
          <w:tcPr>
            <w:tcW w:w="2559" w:type="dxa"/>
          </w:tcPr>
          <w:p w14:paraId="582D95E4" w14:textId="77777777" w:rsidR="00B1042C" w:rsidRDefault="00B1042C" w:rsidP="00B104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E52CA3" wp14:editId="57BFF8AA">
                  <wp:extent cx="1295400" cy="1295400"/>
                  <wp:effectExtent l="0" t="0" r="0" b="0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rawing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F85C44" w14:textId="1FB73D8E" w:rsidR="00E02007" w:rsidRPr="000C54A5" w:rsidRDefault="00E02007" w:rsidP="00B1042C">
            <w:pPr>
              <w:jc w:val="center"/>
            </w:pPr>
            <w:r w:rsidRPr="00E02007">
              <w:rPr>
                <w:b/>
                <w:bCs/>
                <w:sz w:val="20"/>
                <w:szCs w:val="20"/>
              </w:rPr>
              <w:t>Employee Certified Training</w:t>
            </w:r>
          </w:p>
        </w:tc>
      </w:tr>
      <w:tr w:rsidR="00E02833" w14:paraId="2D42E0D0" w14:textId="77777777" w:rsidTr="00461204">
        <w:trPr>
          <w:jc w:val="center"/>
        </w:trPr>
        <w:tc>
          <w:tcPr>
            <w:tcW w:w="911" w:type="dxa"/>
            <w:gridSpan w:val="2"/>
            <w:shd w:val="clear" w:color="auto" w:fill="2F5496" w:themeFill="accent1" w:themeFillShade="BF"/>
          </w:tcPr>
          <w:p w14:paraId="772E2F1A" w14:textId="0F6D4F97" w:rsidR="00297E48" w:rsidRPr="00D805F1" w:rsidRDefault="0038133D" w:rsidP="009D5F2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2</w:t>
            </w:r>
          </w:p>
        </w:tc>
        <w:tc>
          <w:tcPr>
            <w:tcW w:w="10609" w:type="dxa"/>
            <w:gridSpan w:val="5"/>
            <w:shd w:val="clear" w:color="auto" w:fill="2F5496" w:themeFill="accent1" w:themeFillShade="BF"/>
          </w:tcPr>
          <w:p w14:paraId="41D1EB76" w14:textId="5C05F310" w:rsidR="009D5F29" w:rsidRPr="00D805F1" w:rsidRDefault="0038133D">
            <w:pPr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Employee 360 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Alignment </w:t>
            </w:r>
            <w:r>
              <w:rPr>
                <w:b/>
                <w:color w:val="FFFFFF" w:themeColor="background1"/>
                <w:sz w:val="36"/>
                <w:szCs w:val="36"/>
              </w:rPr>
              <w:t>Survey</w:t>
            </w:r>
          </w:p>
        </w:tc>
      </w:tr>
      <w:tr w:rsidR="00461204" w:rsidRPr="009F7801" w14:paraId="0C2A0D0D" w14:textId="77777777" w:rsidTr="001C48D2">
        <w:trPr>
          <w:trHeight w:val="1908"/>
          <w:jc w:val="center"/>
        </w:trPr>
        <w:tc>
          <w:tcPr>
            <w:tcW w:w="8910" w:type="dxa"/>
            <w:gridSpan w:val="5"/>
          </w:tcPr>
          <w:p w14:paraId="70D85863" w14:textId="77777777" w:rsidR="00DA6E8F" w:rsidRDefault="00DA6E8F" w:rsidP="000C54A5">
            <w:pPr>
              <w:jc w:val="both"/>
            </w:pPr>
          </w:p>
          <w:p w14:paraId="0C3FCD9E" w14:textId="1C5EB5AA" w:rsidR="00461204" w:rsidRDefault="0038133D" w:rsidP="000C54A5">
            <w:pPr>
              <w:jc w:val="both"/>
            </w:pPr>
            <w:r>
              <w:t>Employee engagement must include conducting</w:t>
            </w:r>
            <w:r w:rsidRPr="00D805F1">
              <w:t xml:space="preserve"> a 360 Employee Alignment Survey</w:t>
            </w:r>
            <w:r>
              <w:t>(eas360)</w:t>
            </w:r>
            <w:r w:rsidRPr="00D805F1">
              <w:t xml:space="preserve"> with your customer-facing groups comparing their “perception” of the level of customer satisfaction/loyalty with their services vs. the “actual” customer ratings. The results of this </w:t>
            </w:r>
            <w:r>
              <w:t>alignment</w:t>
            </w:r>
            <w:r w:rsidRPr="00D805F1">
              <w:t xml:space="preserve"> provide for an important insight into customer views and actively engages your employees to provide </w:t>
            </w:r>
            <w:r>
              <w:t xml:space="preserve">consistently </w:t>
            </w:r>
            <w:r w:rsidRPr="00D805F1">
              <w:t xml:space="preserve">exceptional customer experiences. </w:t>
            </w:r>
            <w:r>
              <w:t>Survey categories may include satisfaction with company – sales – marketing – training – service and competitive benchmarking. Companies may choose to participate in the annual NorthFace ScoreBoard (NFSB) Award for world-wide superior customer service that includes marketing rights in all print/electronic media.</w:t>
            </w:r>
          </w:p>
          <w:p w14:paraId="2808C863" w14:textId="36C3AFE6" w:rsidR="00DA6E8F" w:rsidRDefault="00DA6E8F" w:rsidP="000C54A5">
            <w:pPr>
              <w:jc w:val="both"/>
            </w:pPr>
          </w:p>
        </w:tc>
        <w:tc>
          <w:tcPr>
            <w:tcW w:w="2610" w:type="dxa"/>
            <w:gridSpan w:val="2"/>
          </w:tcPr>
          <w:p w14:paraId="5E95268F" w14:textId="77777777" w:rsidR="001D08C1" w:rsidRDefault="001D08C1" w:rsidP="001D08C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ED8663B" w14:textId="77777777" w:rsidR="00AF092C" w:rsidRDefault="00AF092C" w:rsidP="00AF092C">
            <w:pPr>
              <w:jc w:val="center"/>
            </w:pPr>
          </w:p>
          <w:p w14:paraId="4ED6E124" w14:textId="77777777" w:rsidR="00AF092C" w:rsidRDefault="00AF092C" w:rsidP="00AF092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F373F4A" wp14:editId="5583AD82">
                  <wp:extent cx="1207008" cy="1143000"/>
                  <wp:effectExtent l="0" t="0" r="0" b="0"/>
                  <wp:docPr id="28" name="Picture 28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text on a white background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76852" w14:textId="2487F7B9" w:rsidR="00346FFF" w:rsidRPr="001D08C1" w:rsidRDefault="00AF092C" w:rsidP="00A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E02007">
              <w:rPr>
                <w:b/>
                <w:bCs/>
                <w:sz w:val="20"/>
                <w:szCs w:val="20"/>
              </w:rPr>
              <w:t>Customer Satisfaction</w:t>
            </w:r>
          </w:p>
        </w:tc>
      </w:tr>
      <w:tr w:rsidR="00E02833" w14:paraId="4201C212" w14:textId="77777777" w:rsidTr="00461204">
        <w:trPr>
          <w:jc w:val="center"/>
        </w:trPr>
        <w:tc>
          <w:tcPr>
            <w:tcW w:w="911" w:type="dxa"/>
            <w:gridSpan w:val="2"/>
            <w:shd w:val="clear" w:color="auto" w:fill="2F5496" w:themeFill="accent1" w:themeFillShade="BF"/>
          </w:tcPr>
          <w:p w14:paraId="4443578E" w14:textId="124B7C1C" w:rsidR="00297E48" w:rsidRPr="00EF4E88" w:rsidRDefault="0038133D" w:rsidP="008314CA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3</w:t>
            </w:r>
          </w:p>
        </w:tc>
        <w:tc>
          <w:tcPr>
            <w:tcW w:w="10609" w:type="dxa"/>
            <w:gridSpan w:val="5"/>
            <w:shd w:val="clear" w:color="auto" w:fill="2F5496" w:themeFill="accent1" w:themeFillShade="BF"/>
          </w:tcPr>
          <w:p w14:paraId="6682C663" w14:textId="7C4CDF6F" w:rsidR="00297E48" w:rsidRPr="00EF4E88" w:rsidRDefault="0038133D" w:rsidP="008314CA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D805F1">
              <w:rPr>
                <w:b/>
                <w:color w:val="FFFFFF" w:themeColor="background1"/>
                <w:sz w:val="36"/>
                <w:szCs w:val="36"/>
              </w:rPr>
              <w:t>Employee Recognition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and Satisfaction</w:t>
            </w:r>
          </w:p>
        </w:tc>
      </w:tr>
      <w:tr w:rsidR="0038133D" w14:paraId="1A6CBCB3" w14:textId="77777777" w:rsidTr="00AF092C">
        <w:trPr>
          <w:trHeight w:val="1808"/>
          <w:jc w:val="center"/>
        </w:trPr>
        <w:tc>
          <w:tcPr>
            <w:tcW w:w="8910" w:type="dxa"/>
            <w:gridSpan w:val="5"/>
            <w:vMerge w:val="restart"/>
            <w:shd w:val="clear" w:color="auto" w:fill="FFFFFF" w:themeFill="background1"/>
          </w:tcPr>
          <w:p w14:paraId="2D82A7FB" w14:textId="77777777" w:rsidR="0038133D" w:rsidRDefault="0038133D" w:rsidP="000C54A5">
            <w:pPr>
              <w:jc w:val="both"/>
            </w:pPr>
          </w:p>
          <w:p w14:paraId="4410BEAD" w14:textId="7D5CB83C" w:rsidR="0038133D" w:rsidRDefault="0038133D" w:rsidP="0038133D">
            <w:pPr>
              <w:jc w:val="both"/>
            </w:pPr>
            <w:r>
              <w:t>The Employee Recognition Program (ERP)</w:t>
            </w:r>
            <w:r>
              <w:t xml:space="preserve"> strategy</w:t>
            </w:r>
            <w:r>
              <w:t xml:space="preserve"> uses a 5-point weighted average point system to identify employees who are exceeding customers’ expectations</w:t>
            </w:r>
            <w:r>
              <w:t xml:space="preserve"> and is </w:t>
            </w:r>
            <w:r>
              <w:t>integrate</w:t>
            </w:r>
            <w:r>
              <w:t>d</w:t>
            </w:r>
            <w:r>
              <w:t xml:space="preserve"> </w:t>
            </w:r>
            <w:r>
              <w:t>to</w:t>
            </w:r>
            <w:r>
              <w:t xml:space="preserve"> any Voice of the Customer (VOC) satisfaction survey program which rate employees’ customer satisfaction performances. This approach eliminates the traditional employee complaints of subjective management goals. </w:t>
            </w:r>
            <w:r>
              <w:t>The ERP strategy establishes a monthly frequency with a 4.0 as the minimum overall customer satisfaction rating to be recognized as exceeding customer expectations.</w:t>
            </w:r>
            <w:r w:rsidR="001666E1">
              <w:t xml:space="preserve"> Recognition may include various forms such as cash bonus, television, vacation resort, gift certificates and others.</w:t>
            </w:r>
          </w:p>
          <w:p w14:paraId="516FD9E0" w14:textId="77777777" w:rsidR="0038133D" w:rsidRPr="00E02007" w:rsidRDefault="0038133D" w:rsidP="0038133D">
            <w:pPr>
              <w:jc w:val="both"/>
              <w:rPr>
                <w:sz w:val="10"/>
                <w:szCs w:val="10"/>
              </w:rPr>
            </w:pPr>
          </w:p>
          <w:p w14:paraId="1D2E5A3A" w14:textId="4B0636D9" w:rsidR="0038133D" w:rsidRDefault="0038133D" w:rsidP="0038133D">
            <w:pPr>
              <w:jc w:val="both"/>
            </w:pPr>
            <w:r>
              <w:t xml:space="preserve">Additionally, companies may choose to participate in the annual NorthFace ScoreBoard (NFSB) Award for employee satisfaction based on the company’s benefits – career opportunities – employee training - commitment to making CX the most critical component of company’s DNA. The NFSB Employee Satisfaction Award, uses a 5-point weighted average point system to identify </w:t>
            </w:r>
            <w:r>
              <w:lastRenderedPageBreak/>
              <w:t xml:space="preserve">companies who meet the minimum employee satisfaction rating of </w:t>
            </w:r>
            <w:proofErr w:type="gramStart"/>
            <w:r>
              <w:t>a 4.0 criteria</w:t>
            </w:r>
            <w:proofErr w:type="gramEnd"/>
            <w:r>
              <w:t>, includes marketing rights in all print/electronic media.</w:t>
            </w:r>
          </w:p>
          <w:p w14:paraId="68986392" w14:textId="14894B55" w:rsidR="0038133D" w:rsidRPr="000C54A5" w:rsidRDefault="0038133D" w:rsidP="000C54A5">
            <w:pPr>
              <w:jc w:val="both"/>
            </w:pP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14:paraId="23273996" w14:textId="77777777" w:rsidR="0038133D" w:rsidRDefault="0038133D" w:rsidP="0038133D">
            <w:pPr>
              <w:jc w:val="center"/>
            </w:pPr>
          </w:p>
          <w:p w14:paraId="2AD04064" w14:textId="77777777" w:rsidR="001666E1" w:rsidRDefault="001666E1" w:rsidP="0038133D">
            <w:pPr>
              <w:jc w:val="center"/>
            </w:pPr>
            <w:r>
              <w:t>Cash bonus</w:t>
            </w:r>
          </w:p>
          <w:p w14:paraId="5D601B1A" w14:textId="050EFB6D" w:rsidR="0038133D" w:rsidRDefault="0038133D" w:rsidP="0038133D">
            <w:pPr>
              <w:jc w:val="center"/>
            </w:pPr>
            <w:r>
              <w:t>Tele</w:t>
            </w:r>
            <w:r w:rsidR="001666E1">
              <w:t>vision</w:t>
            </w:r>
          </w:p>
          <w:p w14:paraId="490BCD49" w14:textId="45076A69" w:rsidR="0038133D" w:rsidRDefault="0038133D" w:rsidP="0038133D">
            <w:pPr>
              <w:jc w:val="center"/>
            </w:pPr>
            <w:r>
              <w:t>Vacation</w:t>
            </w:r>
            <w:r w:rsidR="001666E1">
              <w:t xml:space="preserve"> resort</w:t>
            </w:r>
          </w:p>
          <w:p w14:paraId="587EFAEA" w14:textId="09424EFA" w:rsidR="0038133D" w:rsidRPr="000C54A5" w:rsidRDefault="001666E1" w:rsidP="00AF092C">
            <w:pPr>
              <w:jc w:val="center"/>
            </w:pPr>
            <w:r>
              <w:t>Gift Certificate</w:t>
            </w:r>
          </w:p>
        </w:tc>
      </w:tr>
      <w:tr w:rsidR="0038133D" w14:paraId="138ABD1B" w14:textId="77777777" w:rsidTr="00AF092C">
        <w:trPr>
          <w:trHeight w:val="1807"/>
          <w:jc w:val="center"/>
        </w:trPr>
        <w:tc>
          <w:tcPr>
            <w:tcW w:w="8910" w:type="dxa"/>
            <w:gridSpan w:val="5"/>
            <w:vMerge/>
            <w:shd w:val="clear" w:color="auto" w:fill="FFFFFF" w:themeFill="background1"/>
          </w:tcPr>
          <w:p w14:paraId="36D8B176" w14:textId="77777777" w:rsidR="0038133D" w:rsidRDefault="0038133D" w:rsidP="000C54A5">
            <w:pPr>
              <w:jc w:val="both"/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60FC84B" w14:textId="77777777" w:rsidR="00AF092C" w:rsidRPr="001D08C1" w:rsidRDefault="00AF092C" w:rsidP="00AF092C">
            <w:pPr>
              <w:jc w:val="center"/>
              <w:rPr>
                <w:b/>
                <w:bCs/>
                <w:sz w:val="20"/>
                <w:szCs w:val="20"/>
              </w:rPr>
            </w:pPr>
            <w:r w:rsidRPr="001D08C1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22B4954D" wp14:editId="04D079A7">
                  <wp:extent cx="1207008" cy="1143000"/>
                  <wp:effectExtent l="0" t="0" r="0" b="0"/>
                  <wp:docPr id="30" name="Picture 30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 descr="A close up of a piece of paper&#10;&#10;Description automatically generated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6" b="12474"/>
                          <a:stretch/>
                        </pic:blipFill>
                        <pic:spPr bwMode="auto">
                          <a:xfrm>
                            <a:off x="0" y="0"/>
                            <a:ext cx="1207008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C9E2D5" w14:textId="18CCAB68" w:rsidR="00AF092C" w:rsidRDefault="00AF092C" w:rsidP="00AF092C">
            <w:pPr>
              <w:jc w:val="center"/>
            </w:pPr>
            <w:r w:rsidRPr="001D08C1">
              <w:rPr>
                <w:b/>
                <w:bCs/>
                <w:sz w:val="20"/>
                <w:szCs w:val="20"/>
              </w:rPr>
              <w:t>Employee Satisfaction</w:t>
            </w:r>
          </w:p>
          <w:p w14:paraId="321CBCFB" w14:textId="1FE79CEE" w:rsidR="0038133D" w:rsidRDefault="0038133D" w:rsidP="0038133D">
            <w:pPr>
              <w:jc w:val="center"/>
            </w:pPr>
          </w:p>
        </w:tc>
      </w:tr>
      <w:tr w:rsidR="00461204" w14:paraId="0C93C564" w14:textId="77777777" w:rsidTr="001C48D2">
        <w:trPr>
          <w:trHeight w:val="2160"/>
          <w:jc w:val="center"/>
        </w:trPr>
        <w:tc>
          <w:tcPr>
            <w:tcW w:w="3035" w:type="dxa"/>
            <w:gridSpan w:val="3"/>
            <w:shd w:val="clear" w:color="auto" w:fill="2F5496" w:themeFill="accent1" w:themeFillShade="BF"/>
            <w:vAlign w:val="center"/>
          </w:tcPr>
          <w:p w14:paraId="3C931955" w14:textId="5DCF2601" w:rsidR="005A3C03" w:rsidRPr="00132FD0" w:rsidRDefault="005A3C03" w:rsidP="005A3C03">
            <w:pPr>
              <w:jc w:val="center"/>
              <w:rPr>
                <w:b/>
                <w:color w:val="FFFFFF" w:themeColor="background1"/>
              </w:rPr>
            </w:pPr>
            <w:r w:rsidRPr="00132FD0">
              <w:rPr>
                <w:b/>
                <w:noProof/>
                <w:color w:val="FFFFFF" w:themeColor="background1"/>
              </w:rPr>
              <w:drawing>
                <wp:inline distT="0" distB="0" distL="0" distR="0" wp14:anchorId="655ECFB5" wp14:editId="6BA7D24E">
                  <wp:extent cx="1704975" cy="1000251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RMI Logo_150px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0567" cy="1038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7BD54E" w14:textId="18EAA933" w:rsidR="00935B97" w:rsidRPr="00FB2AD9" w:rsidRDefault="00132FD0" w:rsidP="00FB2AD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E578A">
              <w:rPr>
                <w:b/>
                <w:color w:val="FFFFFF" w:themeColor="background1"/>
                <w:sz w:val="20"/>
                <w:szCs w:val="20"/>
              </w:rPr>
              <w:t>Exceeding Customer Expectations - One Experience at a Time</w:t>
            </w:r>
            <w:r w:rsidR="00D8183C" w:rsidRPr="005E578A">
              <w:rPr>
                <w:b/>
                <w:color w:val="FFFFFF" w:themeColor="background1"/>
                <w:sz w:val="20"/>
                <w:szCs w:val="20"/>
              </w:rPr>
              <w:t>℠</w:t>
            </w:r>
          </w:p>
        </w:tc>
        <w:tc>
          <w:tcPr>
            <w:tcW w:w="8485" w:type="dxa"/>
            <w:gridSpan w:val="4"/>
            <w:shd w:val="clear" w:color="auto" w:fill="2F5496" w:themeFill="accent1" w:themeFillShade="BF"/>
            <w:vAlign w:val="center"/>
          </w:tcPr>
          <w:p w14:paraId="5BF008D4" w14:textId="7CA3D30D" w:rsidR="002A67FB" w:rsidRPr="00826998" w:rsidRDefault="002A67FB" w:rsidP="00B642E8">
            <w:pPr>
              <w:pBdr>
                <w:bottom w:val="single" w:sz="12" w:space="1" w:color="auto"/>
              </w:pBdr>
              <w:jc w:val="both"/>
              <w:rPr>
                <w:color w:val="FFFFFF" w:themeColor="background1"/>
                <w:sz w:val="20"/>
                <w:szCs w:val="20"/>
              </w:rPr>
            </w:pPr>
            <w:r w:rsidRPr="00826998">
              <w:rPr>
                <w:color w:val="FFFFFF" w:themeColor="background1"/>
                <w:sz w:val="20"/>
                <w:szCs w:val="20"/>
              </w:rPr>
              <w:t xml:space="preserve">CRMI is your Customer Experience Management (CEM) partner. Empower your organization with the knowledge and </w:t>
            </w:r>
            <w:r w:rsidR="0091566D" w:rsidRPr="00826998">
              <w:rPr>
                <w:color w:val="FFFFFF" w:themeColor="background1"/>
                <w:sz w:val="20"/>
                <w:szCs w:val="20"/>
              </w:rPr>
              <w:t>training</w:t>
            </w:r>
            <w:r w:rsidRPr="0082699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="000D7898" w:rsidRPr="00826998">
              <w:rPr>
                <w:color w:val="FFFFFF" w:themeColor="background1"/>
                <w:sz w:val="20"/>
                <w:szCs w:val="20"/>
              </w:rPr>
              <w:t>for delivering</w:t>
            </w:r>
            <w:r w:rsidR="00377E15" w:rsidRPr="00826998">
              <w:rPr>
                <w:color w:val="FFFFFF" w:themeColor="background1"/>
                <w:sz w:val="20"/>
                <w:szCs w:val="20"/>
              </w:rPr>
              <w:t xml:space="preserve"> </w:t>
            </w:r>
            <w:r w:rsidRPr="00826998">
              <w:rPr>
                <w:color w:val="FFFFFF" w:themeColor="background1"/>
                <w:sz w:val="20"/>
                <w:szCs w:val="20"/>
              </w:rPr>
              <w:t xml:space="preserve">the ultimate customer experience. Build loyalty, drive </w:t>
            </w:r>
            <w:proofErr w:type="gramStart"/>
            <w:r w:rsidRPr="00826998">
              <w:rPr>
                <w:color w:val="FFFFFF" w:themeColor="background1"/>
                <w:sz w:val="20"/>
                <w:szCs w:val="20"/>
              </w:rPr>
              <w:t>revenue</w:t>
            </w:r>
            <w:proofErr w:type="gramEnd"/>
            <w:r w:rsidRPr="00826998">
              <w:rPr>
                <w:color w:val="FFFFFF" w:themeColor="background1"/>
                <w:sz w:val="20"/>
                <w:szCs w:val="20"/>
              </w:rPr>
              <w:t xml:space="preserve"> and maximize client satisfaction with </w:t>
            </w:r>
            <w:r w:rsidR="008E44AE" w:rsidRPr="00826998">
              <w:rPr>
                <w:color w:val="FFFFFF" w:themeColor="background1"/>
                <w:sz w:val="20"/>
                <w:szCs w:val="20"/>
              </w:rPr>
              <w:t xml:space="preserve">a </w:t>
            </w:r>
            <w:r w:rsidRPr="00826998">
              <w:rPr>
                <w:color w:val="FFFFFF" w:themeColor="background1"/>
                <w:sz w:val="20"/>
                <w:szCs w:val="20"/>
              </w:rPr>
              <w:t xml:space="preserve">proven </w:t>
            </w:r>
            <w:r w:rsidR="002255F0" w:rsidRPr="00826998">
              <w:rPr>
                <w:color w:val="FFFFFF" w:themeColor="background1"/>
                <w:sz w:val="20"/>
                <w:szCs w:val="20"/>
              </w:rPr>
              <w:t>CX</w:t>
            </w:r>
            <w:r w:rsidR="00377E15" w:rsidRPr="00826998">
              <w:rPr>
                <w:color w:val="FFFFFF" w:themeColor="background1"/>
                <w:sz w:val="20"/>
                <w:szCs w:val="20"/>
              </w:rPr>
              <w:t>DNA Playbook</w:t>
            </w:r>
            <w:r w:rsidR="008E44AE" w:rsidRPr="00826998">
              <w:rPr>
                <w:color w:val="FFFFFF" w:themeColor="background1"/>
                <w:sz w:val="20"/>
                <w:szCs w:val="20"/>
              </w:rPr>
              <w:t xml:space="preserve"> Strategy</w:t>
            </w:r>
            <w:r w:rsidR="009F0681" w:rsidRPr="00826998">
              <w:rPr>
                <w:color w:val="FFFFFF" w:themeColor="background1"/>
                <w:sz w:val="20"/>
                <w:szCs w:val="20"/>
              </w:rPr>
              <w:t>.</w:t>
            </w:r>
          </w:p>
          <w:p w14:paraId="2C621109" w14:textId="6D85CC0D" w:rsidR="00935B97" w:rsidRDefault="00935B97" w:rsidP="002A67FB">
            <w:pPr>
              <w:pBdr>
                <w:bottom w:val="single" w:sz="12" w:space="1" w:color="auto"/>
              </w:pBdr>
              <w:rPr>
                <w:color w:val="FFFFFF" w:themeColor="background1"/>
                <w:sz w:val="10"/>
                <w:szCs w:val="10"/>
              </w:rPr>
            </w:pPr>
          </w:p>
          <w:p w14:paraId="40F1FBD2" w14:textId="77777777" w:rsidR="00CF21EC" w:rsidRPr="005E578A" w:rsidRDefault="00CF21EC" w:rsidP="002A67FB">
            <w:pPr>
              <w:pBdr>
                <w:bottom w:val="single" w:sz="12" w:space="1" w:color="auto"/>
              </w:pBdr>
              <w:rPr>
                <w:color w:val="FFFFFF" w:themeColor="background1"/>
                <w:sz w:val="10"/>
                <w:szCs w:val="10"/>
              </w:rPr>
            </w:pPr>
          </w:p>
          <w:p w14:paraId="7635E7EC" w14:textId="0BB33589" w:rsidR="00935B97" w:rsidRDefault="00935B97" w:rsidP="002A67FB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14:paraId="75197918" w14:textId="77777777" w:rsidR="00CF21EC" w:rsidRPr="005E578A" w:rsidRDefault="00CF21EC" w:rsidP="002A67FB">
            <w:pPr>
              <w:rPr>
                <w:b/>
                <w:color w:val="FFFFFF" w:themeColor="background1"/>
                <w:sz w:val="10"/>
                <w:szCs w:val="10"/>
              </w:rPr>
            </w:pPr>
          </w:p>
          <w:p w14:paraId="7740D0B6" w14:textId="3E5C5D5F" w:rsidR="002A67FB" w:rsidRPr="00CF21EC" w:rsidRDefault="002A67FB" w:rsidP="002A67F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826998">
              <w:rPr>
                <w:b/>
                <w:color w:val="FFFFFF" w:themeColor="background1"/>
                <w:sz w:val="20"/>
                <w:szCs w:val="20"/>
              </w:rPr>
              <w:t>P</w:t>
            </w:r>
            <w:r w:rsidR="00D00B12" w:rsidRPr="00826998">
              <w:rPr>
                <w:b/>
                <w:color w:val="FFFFFF" w:themeColor="background1"/>
                <w:sz w:val="20"/>
                <w:szCs w:val="20"/>
              </w:rPr>
              <w:t>h</w:t>
            </w:r>
            <w:r w:rsidR="00CF21EC">
              <w:rPr>
                <w:b/>
                <w:color w:val="FFFFFF" w:themeColor="background1"/>
                <w:sz w:val="20"/>
                <w:szCs w:val="20"/>
              </w:rPr>
              <w:t>:</w:t>
            </w:r>
            <w:r w:rsidRPr="00826998">
              <w:rPr>
                <w:b/>
                <w:color w:val="FFFFFF" w:themeColor="background1"/>
                <w:sz w:val="20"/>
                <w:szCs w:val="20"/>
              </w:rPr>
              <w:t xml:space="preserve"> 978-710-3278 | Email: </w:t>
            </w:r>
            <w:hyperlink r:id="rId13" w:history="1">
              <w:r w:rsidR="002255F0" w:rsidRPr="00826998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drivera@crmirewards.com</w:t>
              </w:r>
            </w:hyperlink>
            <w:r w:rsidR="002255F0" w:rsidRPr="00826998">
              <w:rPr>
                <w:b/>
                <w:color w:val="FFFFFF" w:themeColor="background1"/>
                <w:sz w:val="20"/>
                <w:szCs w:val="20"/>
              </w:rPr>
              <w:t xml:space="preserve"> | </w:t>
            </w:r>
            <w:r w:rsidR="00D00C5F" w:rsidRPr="00826998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9F40E6" w:rsidRPr="00826998">
              <w:rPr>
                <w:b/>
                <w:color w:val="FFFFFF" w:themeColor="background1"/>
                <w:sz w:val="20"/>
                <w:szCs w:val="20"/>
              </w:rPr>
              <w:t>ebsite:</w:t>
            </w:r>
            <w:r w:rsidR="00CF21EC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D00C5F" w:rsidRPr="00826998">
              <w:rPr>
                <w:b/>
                <w:color w:val="FFFFFF" w:themeColor="background1"/>
                <w:sz w:val="20"/>
                <w:szCs w:val="20"/>
              </w:rPr>
              <w:t>www.crmirewards.com</w:t>
            </w:r>
          </w:p>
        </w:tc>
      </w:tr>
    </w:tbl>
    <w:p w14:paraId="1C0836C4" w14:textId="77777777" w:rsidR="001B799C" w:rsidRDefault="001B799C" w:rsidP="001C48D2"/>
    <w:sectPr w:rsidR="001B799C" w:rsidSect="005C06BB"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A7B"/>
    <w:multiLevelType w:val="hybridMultilevel"/>
    <w:tmpl w:val="D01A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032D4"/>
    <w:multiLevelType w:val="hybridMultilevel"/>
    <w:tmpl w:val="5C4E7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48"/>
    <w:rsid w:val="00001BE8"/>
    <w:rsid w:val="00006E61"/>
    <w:rsid w:val="00012D9C"/>
    <w:rsid w:val="0002213C"/>
    <w:rsid w:val="0004229A"/>
    <w:rsid w:val="00046688"/>
    <w:rsid w:val="000576F5"/>
    <w:rsid w:val="00066C7C"/>
    <w:rsid w:val="00067F2E"/>
    <w:rsid w:val="00075D6A"/>
    <w:rsid w:val="00075E80"/>
    <w:rsid w:val="000A4628"/>
    <w:rsid w:val="000A6C94"/>
    <w:rsid w:val="000B15D3"/>
    <w:rsid w:val="000B3ED7"/>
    <w:rsid w:val="000C18F7"/>
    <w:rsid w:val="000C407E"/>
    <w:rsid w:val="000C54A5"/>
    <w:rsid w:val="000C58CF"/>
    <w:rsid w:val="000D1234"/>
    <w:rsid w:val="000D1B90"/>
    <w:rsid w:val="000D6E91"/>
    <w:rsid w:val="000D7898"/>
    <w:rsid w:val="000F0FAD"/>
    <w:rsid w:val="000F14D3"/>
    <w:rsid w:val="000F4312"/>
    <w:rsid w:val="0010373A"/>
    <w:rsid w:val="00124A5C"/>
    <w:rsid w:val="00125E1A"/>
    <w:rsid w:val="00132FD0"/>
    <w:rsid w:val="0013391A"/>
    <w:rsid w:val="00162241"/>
    <w:rsid w:val="00164217"/>
    <w:rsid w:val="001666E1"/>
    <w:rsid w:val="0018144A"/>
    <w:rsid w:val="00181A44"/>
    <w:rsid w:val="00182FAA"/>
    <w:rsid w:val="0018407B"/>
    <w:rsid w:val="00191F57"/>
    <w:rsid w:val="00195047"/>
    <w:rsid w:val="001B799C"/>
    <w:rsid w:val="001C48D2"/>
    <w:rsid w:val="001D031B"/>
    <w:rsid w:val="001D08C1"/>
    <w:rsid w:val="001D3DAD"/>
    <w:rsid w:val="001E2613"/>
    <w:rsid w:val="001E3FD5"/>
    <w:rsid w:val="001E4BA1"/>
    <w:rsid w:val="002000E0"/>
    <w:rsid w:val="00206F91"/>
    <w:rsid w:val="00210E66"/>
    <w:rsid w:val="002240F3"/>
    <w:rsid w:val="002255F0"/>
    <w:rsid w:val="00227AF3"/>
    <w:rsid w:val="002448A1"/>
    <w:rsid w:val="00251347"/>
    <w:rsid w:val="002528ED"/>
    <w:rsid w:val="00253B00"/>
    <w:rsid w:val="00257239"/>
    <w:rsid w:val="00262F66"/>
    <w:rsid w:val="00265167"/>
    <w:rsid w:val="00274334"/>
    <w:rsid w:val="00284BB8"/>
    <w:rsid w:val="00297E48"/>
    <w:rsid w:val="002A3356"/>
    <w:rsid w:val="002A42A2"/>
    <w:rsid w:val="002A67FB"/>
    <w:rsid w:val="002B67FD"/>
    <w:rsid w:val="002D201B"/>
    <w:rsid w:val="002D43E0"/>
    <w:rsid w:val="002D690F"/>
    <w:rsid w:val="002E1DCA"/>
    <w:rsid w:val="002E37F8"/>
    <w:rsid w:val="003028BF"/>
    <w:rsid w:val="003167B1"/>
    <w:rsid w:val="00326037"/>
    <w:rsid w:val="00330AA9"/>
    <w:rsid w:val="003344E2"/>
    <w:rsid w:val="00334525"/>
    <w:rsid w:val="003356FB"/>
    <w:rsid w:val="00342F70"/>
    <w:rsid w:val="0034389A"/>
    <w:rsid w:val="00346FFF"/>
    <w:rsid w:val="00360A6A"/>
    <w:rsid w:val="00375B97"/>
    <w:rsid w:val="00377E15"/>
    <w:rsid w:val="0038133D"/>
    <w:rsid w:val="0038399C"/>
    <w:rsid w:val="0039730F"/>
    <w:rsid w:val="003A4EDE"/>
    <w:rsid w:val="003A5A62"/>
    <w:rsid w:val="003B46B4"/>
    <w:rsid w:val="003C09CA"/>
    <w:rsid w:val="003C39E1"/>
    <w:rsid w:val="003C3CFC"/>
    <w:rsid w:val="003C4AD6"/>
    <w:rsid w:val="003D2623"/>
    <w:rsid w:val="003D2D84"/>
    <w:rsid w:val="003E71B3"/>
    <w:rsid w:val="003F6412"/>
    <w:rsid w:val="00415183"/>
    <w:rsid w:val="004270DE"/>
    <w:rsid w:val="0043260D"/>
    <w:rsid w:val="00440B06"/>
    <w:rsid w:val="00440BAE"/>
    <w:rsid w:val="00461204"/>
    <w:rsid w:val="0046312D"/>
    <w:rsid w:val="00481CFF"/>
    <w:rsid w:val="00495E30"/>
    <w:rsid w:val="004C021B"/>
    <w:rsid w:val="004C42C5"/>
    <w:rsid w:val="004C4D3C"/>
    <w:rsid w:val="004C6CD0"/>
    <w:rsid w:val="004C6E67"/>
    <w:rsid w:val="004D7617"/>
    <w:rsid w:val="004F6F4E"/>
    <w:rsid w:val="00500BA4"/>
    <w:rsid w:val="00501CA9"/>
    <w:rsid w:val="00513A2B"/>
    <w:rsid w:val="00535E3A"/>
    <w:rsid w:val="00560BD6"/>
    <w:rsid w:val="00561F8E"/>
    <w:rsid w:val="00572EB1"/>
    <w:rsid w:val="00583FCA"/>
    <w:rsid w:val="005902DD"/>
    <w:rsid w:val="0059222D"/>
    <w:rsid w:val="005964D1"/>
    <w:rsid w:val="005A0623"/>
    <w:rsid w:val="005A3C03"/>
    <w:rsid w:val="005B0A22"/>
    <w:rsid w:val="005B18AD"/>
    <w:rsid w:val="005B4684"/>
    <w:rsid w:val="005B4C13"/>
    <w:rsid w:val="005C06BB"/>
    <w:rsid w:val="005C28A9"/>
    <w:rsid w:val="005D714C"/>
    <w:rsid w:val="005E578A"/>
    <w:rsid w:val="005F40CA"/>
    <w:rsid w:val="005F7C45"/>
    <w:rsid w:val="00620C48"/>
    <w:rsid w:val="00634A98"/>
    <w:rsid w:val="00672D03"/>
    <w:rsid w:val="006802F0"/>
    <w:rsid w:val="0068688B"/>
    <w:rsid w:val="006A400C"/>
    <w:rsid w:val="006C155F"/>
    <w:rsid w:val="006F0B6F"/>
    <w:rsid w:val="006F40C0"/>
    <w:rsid w:val="006F7245"/>
    <w:rsid w:val="007106E8"/>
    <w:rsid w:val="007134E4"/>
    <w:rsid w:val="007226CB"/>
    <w:rsid w:val="007268FF"/>
    <w:rsid w:val="00727DBB"/>
    <w:rsid w:val="00734082"/>
    <w:rsid w:val="007520BD"/>
    <w:rsid w:val="00761EAE"/>
    <w:rsid w:val="00765AE9"/>
    <w:rsid w:val="00770CB6"/>
    <w:rsid w:val="00776CC8"/>
    <w:rsid w:val="00787982"/>
    <w:rsid w:val="007906A7"/>
    <w:rsid w:val="007946CB"/>
    <w:rsid w:val="00796EDA"/>
    <w:rsid w:val="007A4065"/>
    <w:rsid w:val="007A6D8E"/>
    <w:rsid w:val="007C601D"/>
    <w:rsid w:val="007D2626"/>
    <w:rsid w:val="007E077B"/>
    <w:rsid w:val="007E61AF"/>
    <w:rsid w:val="007F556A"/>
    <w:rsid w:val="007F5FEC"/>
    <w:rsid w:val="00804775"/>
    <w:rsid w:val="00826998"/>
    <w:rsid w:val="008314CA"/>
    <w:rsid w:val="00843557"/>
    <w:rsid w:val="008753A0"/>
    <w:rsid w:val="008930B7"/>
    <w:rsid w:val="00893FA7"/>
    <w:rsid w:val="008A0850"/>
    <w:rsid w:val="008A1215"/>
    <w:rsid w:val="008C64FA"/>
    <w:rsid w:val="008C6EF8"/>
    <w:rsid w:val="008C7C72"/>
    <w:rsid w:val="008E2DC1"/>
    <w:rsid w:val="008E44AE"/>
    <w:rsid w:val="008F1D8D"/>
    <w:rsid w:val="008F4E01"/>
    <w:rsid w:val="0091566D"/>
    <w:rsid w:val="009263CD"/>
    <w:rsid w:val="009318E1"/>
    <w:rsid w:val="00935B97"/>
    <w:rsid w:val="00944639"/>
    <w:rsid w:val="009465EC"/>
    <w:rsid w:val="00952BD0"/>
    <w:rsid w:val="00971BE2"/>
    <w:rsid w:val="009731D6"/>
    <w:rsid w:val="00982E77"/>
    <w:rsid w:val="00985E12"/>
    <w:rsid w:val="00987C61"/>
    <w:rsid w:val="009936F9"/>
    <w:rsid w:val="009A5C56"/>
    <w:rsid w:val="009B70D5"/>
    <w:rsid w:val="009C142C"/>
    <w:rsid w:val="009D5F29"/>
    <w:rsid w:val="009E5384"/>
    <w:rsid w:val="009F0681"/>
    <w:rsid w:val="009F40E6"/>
    <w:rsid w:val="009F7801"/>
    <w:rsid w:val="00A015F2"/>
    <w:rsid w:val="00A1346F"/>
    <w:rsid w:val="00A1505F"/>
    <w:rsid w:val="00A36F30"/>
    <w:rsid w:val="00A411D7"/>
    <w:rsid w:val="00A42366"/>
    <w:rsid w:val="00A446B6"/>
    <w:rsid w:val="00A4494F"/>
    <w:rsid w:val="00A6006B"/>
    <w:rsid w:val="00A84DE0"/>
    <w:rsid w:val="00A86978"/>
    <w:rsid w:val="00A9305A"/>
    <w:rsid w:val="00AC17D1"/>
    <w:rsid w:val="00AC1A6B"/>
    <w:rsid w:val="00AC1C69"/>
    <w:rsid w:val="00AE2114"/>
    <w:rsid w:val="00AE7887"/>
    <w:rsid w:val="00AF092C"/>
    <w:rsid w:val="00AF7448"/>
    <w:rsid w:val="00AF7E26"/>
    <w:rsid w:val="00AF7E91"/>
    <w:rsid w:val="00B0205B"/>
    <w:rsid w:val="00B07982"/>
    <w:rsid w:val="00B07A5C"/>
    <w:rsid w:val="00B1042C"/>
    <w:rsid w:val="00B1724E"/>
    <w:rsid w:val="00B243B9"/>
    <w:rsid w:val="00B32CF7"/>
    <w:rsid w:val="00B35094"/>
    <w:rsid w:val="00B35A68"/>
    <w:rsid w:val="00B3623D"/>
    <w:rsid w:val="00B642E8"/>
    <w:rsid w:val="00B7109A"/>
    <w:rsid w:val="00B715C2"/>
    <w:rsid w:val="00B7774C"/>
    <w:rsid w:val="00B8382D"/>
    <w:rsid w:val="00B97CFB"/>
    <w:rsid w:val="00BA2344"/>
    <w:rsid w:val="00BB596F"/>
    <w:rsid w:val="00BB74ED"/>
    <w:rsid w:val="00BB7FAA"/>
    <w:rsid w:val="00BC4095"/>
    <w:rsid w:val="00BC6C6F"/>
    <w:rsid w:val="00BD65E3"/>
    <w:rsid w:val="00BE0104"/>
    <w:rsid w:val="00BF542E"/>
    <w:rsid w:val="00C05F25"/>
    <w:rsid w:val="00C113AB"/>
    <w:rsid w:val="00C11749"/>
    <w:rsid w:val="00C91EA4"/>
    <w:rsid w:val="00CA5687"/>
    <w:rsid w:val="00CF21EC"/>
    <w:rsid w:val="00D00B12"/>
    <w:rsid w:val="00D00C5F"/>
    <w:rsid w:val="00D03FD0"/>
    <w:rsid w:val="00D21F82"/>
    <w:rsid w:val="00D23F9A"/>
    <w:rsid w:val="00D271E4"/>
    <w:rsid w:val="00D30420"/>
    <w:rsid w:val="00D31172"/>
    <w:rsid w:val="00D33476"/>
    <w:rsid w:val="00D573A0"/>
    <w:rsid w:val="00D70600"/>
    <w:rsid w:val="00D805F1"/>
    <w:rsid w:val="00D814A2"/>
    <w:rsid w:val="00D8183C"/>
    <w:rsid w:val="00D862B9"/>
    <w:rsid w:val="00D93BDE"/>
    <w:rsid w:val="00DA6E8F"/>
    <w:rsid w:val="00DB1D92"/>
    <w:rsid w:val="00DC696F"/>
    <w:rsid w:val="00DD55C7"/>
    <w:rsid w:val="00DF1FA5"/>
    <w:rsid w:val="00DF456B"/>
    <w:rsid w:val="00DF477D"/>
    <w:rsid w:val="00DF7F0B"/>
    <w:rsid w:val="00E02007"/>
    <w:rsid w:val="00E02833"/>
    <w:rsid w:val="00E03362"/>
    <w:rsid w:val="00E03909"/>
    <w:rsid w:val="00E102B3"/>
    <w:rsid w:val="00E216ED"/>
    <w:rsid w:val="00E21E15"/>
    <w:rsid w:val="00E24A7C"/>
    <w:rsid w:val="00E27B90"/>
    <w:rsid w:val="00E30675"/>
    <w:rsid w:val="00E513F8"/>
    <w:rsid w:val="00E52328"/>
    <w:rsid w:val="00E5405E"/>
    <w:rsid w:val="00E55F5D"/>
    <w:rsid w:val="00E6107A"/>
    <w:rsid w:val="00E6223A"/>
    <w:rsid w:val="00E63AB3"/>
    <w:rsid w:val="00E73EF0"/>
    <w:rsid w:val="00EA1544"/>
    <w:rsid w:val="00EA19D0"/>
    <w:rsid w:val="00EA2D87"/>
    <w:rsid w:val="00EC0B7F"/>
    <w:rsid w:val="00EE4B9C"/>
    <w:rsid w:val="00EF4E88"/>
    <w:rsid w:val="00F02860"/>
    <w:rsid w:val="00F12F45"/>
    <w:rsid w:val="00F24467"/>
    <w:rsid w:val="00F40438"/>
    <w:rsid w:val="00F4432C"/>
    <w:rsid w:val="00F51D09"/>
    <w:rsid w:val="00F55D39"/>
    <w:rsid w:val="00F566B6"/>
    <w:rsid w:val="00F642D1"/>
    <w:rsid w:val="00F6439C"/>
    <w:rsid w:val="00F81738"/>
    <w:rsid w:val="00FA53E0"/>
    <w:rsid w:val="00FA7368"/>
    <w:rsid w:val="00FB1170"/>
    <w:rsid w:val="00FB2AD9"/>
    <w:rsid w:val="00FB796D"/>
    <w:rsid w:val="00FC002D"/>
    <w:rsid w:val="00FD11D4"/>
    <w:rsid w:val="00FD624D"/>
    <w:rsid w:val="00FD77E2"/>
    <w:rsid w:val="00FE7E45"/>
    <w:rsid w:val="00FF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1B252"/>
  <w15:chartTrackingRefBased/>
  <w15:docId w15:val="{D292991A-9E9C-44F3-B721-C6284DAF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E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97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7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drivera@crmirewa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2A553E7533743BF619E18480EEFB2" ma:contentTypeVersion="6" ma:contentTypeDescription="Create a new document." ma:contentTypeScope="" ma:versionID="9a7136a51367e007658e36f69f393394">
  <xsd:schema xmlns:xsd="http://www.w3.org/2001/XMLSchema" xmlns:xs="http://www.w3.org/2001/XMLSchema" xmlns:p="http://schemas.microsoft.com/office/2006/metadata/properties" xmlns:ns2="b68ed9fd-ea0e-4d01-a4fa-692d2aba668d" targetNamespace="http://schemas.microsoft.com/office/2006/metadata/properties" ma:root="true" ma:fieldsID="7c71baf39dbd5e18900ae532383acc23" ns2:_="">
    <xsd:import namespace="b68ed9fd-ea0e-4d01-a4fa-692d2aba6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ed9fd-ea0e-4d01-a4fa-692d2aba6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28BAD1-7B59-48FB-9852-45C42B8E4B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ed9fd-ea0e-4d01-a4fa-692d2aba6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91CC22-3173-4ABE-9E02-25A26E747F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1415A4-52F2-4EBB-94FD-1912779222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Rivera</dc:creator>
  <cp:keywords/>
  <dc:description/>
  <cp:lastModifiedBy>Diane Rivera</cp:lastModifiedBy>
  <cp:revision>10</cp:revision>
  <cp:lastPrinted>2020-09-21T17:37:00Z</cp:lastPrinted>
  <dcterms:created xsi:type="dcterms:W3CDTF">2020-09-15T16:15:00Z</dcterms:created>
  <dcterms:modified xsi:type="dcterms:W3CDTF">2020-09-21T17:38:00Z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0x010100C212A553E7533743BF619E18480EEFB2</vt:lpwstr>
  </property>
</Properties>
</file>